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i w:val="1"/>
          <w:sz w:val="24"/>
          <w:szCs w:val="24"/>
          <w:rtl w:val="0"/>
        </w:rPr>
        <w:t xml:space="preserve">ASWU SENATE FALL OF 2015</w:t>
      </w:r>
    </w:p>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i w:val="1"/>
          <w:sz w:val="24"/>
          <w:szCs w:val="24"/>
          <w:rtl w:val="0"/>
        </w:rPr>
        <w:t xml:space="preserve">A Bill to Update ASWU Funding Requirements and Precedents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WHEREAS, the ASWU finance board funding precedents play a critical role in effectively and fairly allocating funds to clubs and organizations on campus;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WHEREAS, the ASWU finance board finds need for additional and clarified precedents;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THEREFORE, BE IT ENACTED that the Senate shall agree to following requirements precedents to best serve the student body: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1.All organizations must send the president or treasurer to attend a Student Organization Orientation in order to receive ASWU Funding. Clubs can be approved for ASWU funding if they have not attended an S.O.O., but funds will be withheld by the ASWU Treasurer until the club president or treasurer has attended an S.O.O. or a 1:1 with their Leadership Consultant.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2.When holding an event funded by ASWU, the club must request funds for advertising in order to be considered eligible for ASWU funding of that event. We also recommend that they work with Leadership Consultants and publish their event in the Bearcat Bulletin.</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3.Advertising precedent will be set to $25/event to promote events on campus and increase student awareness of opportunities provided by ASWU funding.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4.Regarding dances hosted by Greek organizations open to the public we set precedent for security at $300, wristbands at $10, advertising at $25, and decorations at $20.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5.Precedent for van rental will be limited to $140/day regardless of the number of miles driven.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6.ASWU Finance would be willing to fund up to $500 for speaker compensation. However, we will need a thorough explanation and itemized breakdown of items requested which may consist of speaker fees, lodging, and transportation.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7.Precedent for gaming clubs stands at three games per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bill is to be enacted in full on January 1, 2016.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